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62" w:rsidRPr="005B40D4" w:rsidRDefault="0079581C" w:rsidP="00E41E4F">
      <w:pPr>
        <w:pStyle w:val="TitelBold"/>
        <w:spacing w:after="360" w:line="240" w:lineRule="auto"/>
        <w:rPr>
          <w:b w:val="0"/>
          <w:sz w:val="20"/>
          <w:szCs w:val="20"/>
        </w:rPr>
      </w:pPr>
      <w:r>
        <w:rPr>
          <w:b w:val="0"/>
          <w:sz w:val="20"/>
        </w:rPr>
        <w:t xml:space="preserve">Berne, le </w:t>
      </w:r>
      <w:r w:rsidR="00B8727E">
        <w:rPr>
          <w:b w:val="0"/>
          <w:sz w:val="20"/>
        </w:rPr>
        <w:t>16</w:t>
      </w:r>
      <w:r w:rsidR="00806B62" w:rsidRPr="005B40D4">
        <w:rPr>
          <w:b w:val="0"/>
          <w:sz w:val="20"/>
        </w:rPr>
        <w:t>.0</w:t>
      </w:r>
      <w:r>
        <w:rPr>
          <w:b w:val="0"/>
          <w:sz w:val="20"/>
        </w:rPr>
        <w:t>2</w:t>
      </w:r>
      <w:r w:rsidR="00806B62" w:rsidRPr="005B40D4">
        <w:rPr>
          <w:b w:val="0"/>
          <w:sz w:val="20"/>
        </w:rPr>
        <w:t>.2015</w:t>
      </w:r>
    </w:p>
    <w:p w:rsidR="009178CE" w:rsidRPr="005B40D4" w:rsidRDefault="009178CE" w:rsidP="00E41E4F">
      <w:pPr>
        <w:pStyle w:val="TitelBold"/>
        <w:spacing w:after="120" w:line="240" w:lineRule="auto"/>
        <w:rPr>
          <w:b w:val="0"/>
          <w:sz w:val="28"/>
          <w:szCs w:val="28"/>
        </w:rPr>
      </w:pPr>
      <w:r w:rsidRPr="005B40D4">
        <w:rPr>
          <w:b w:val="0"/>
          <w:sz w:val="28"/>
        </w:rPr>
        <w:t>Communiqué aux médias</w:t>
      </w:r>
    </w:p>
    <w:p w:rsidR="0079581C" w:rsidRPr="0079581C" w:rsidRDefault="008F0134" w:rsidP="0079581C">
      <w:pPr>
        <w:tabs>
          <w:tab w:val="left" w:pos="7920"/>
        </w:tabs>
        <w:spacing w:after="360" w:line="240" w:lineRule="auto"/>
        <w:rPr>
          <w:b/>
          <w:sz w:val="36"/>
        </w:rPr>
      </w:pPr>
      <w:r>
        <w:rPr>
          <w:b/>
          <w:sz w:val="36"/>
        </w:rPr>
        <w:t>La SuisseNautic, de mercredi à dimanche, à Berne</w:t>
      </w:r>
    </w:p>
    <w:p w:rsidR="008F0134" w:rsidRPr="005B40D4" w:rsidRDefault="008F0134" w:rsidP="008F0134">
      <w:pPr>
        <w:spacing w:after="240" w:line="336" w:lineRule="auto"/>
        <w:rPr>
          <w:rFonts w:cs="Arial"/>
          <w:b/>
          <w:szCs w:val="20"/>
        </w:rPr>
      </w:pPr>
      <w:r w:rsidRPr="005B40D4">
        <w:rPr>
          <w:b/>
        </w:rPr>
        <w:t>La SuisseNautic, l’unique salon national du nautisme et des sports nautiques, ouvrira ses portes du 18 au 22 février 2015. Dans les halles de BERNEXPO, quelque 200 exposants nationaux et internationaux présenteront leur offre. La 8</w:t>
      </w:r>
      <w:r w:rsidRPr="005B40D4">
        <w:rPr>
          <w:b/>
          <w:vertAlign w:val="superscript"/>
        </w:rPr>
        <w:t>e</w:t>
      </w:r>
      <w:r w:rsidRPr="005B40D4">
        <w:rPr>
          <w:b/>
        </w:rPr>
        <w:t xml:space="preserve"> édition de la SuisseNautic promet d’être encore un temps fort pour tous les amateurs de sports nautiques.</w:t>
      </w:r>
    </w:p>
    <w:p w:rsidR="008F0134" w:rsidRPr="00410974" w:rsidRDefault="008F0134" w:rsidP="008F0134">
      <w:pPr>
        <w:spacing w:after="240" w:line="336" w:lineRule="auto"/>
        <w:rPr>
          <w:rStyle w:val="ctrllabelvalue1"/>
          <w:rFonts w:ascii="Arial" w:hAnsi="Arial"/>
          <w:bCs/>
          <w:spacing w:val="0"/>
          <w:sz w:val="20"/>
          <w:szCs w:val="20"/>
        </w:rPr>
      </w:pPr>
      <w:r>
        <w:rPr>
          <w:rStyle w:val="ctrllabelvalue1"/>
          <w:rFonts w:ascii="Arial" w:hAnsi="Arial"/>
          <w:spacing w:val="0"/>
          <w:sz w:val="20"/>
        </w:rPr>
        <w:t xml:space="preserve">Outre de nombreuses premières et nouveautés présentées par quelque 200 exposants nationaux et internationaux du secteur des bateaux à moteur, bateaux à voile et dériveurs, canots de sauvetage, bateaux à rames, canoës, kayaks et bateaux de pêche, ainsi que des accessoires et articles de sports nautiques, des démonstrations et expositions spéciales fascinantes attendent également les visiteurs. Le championnat suisse SUP Indoor (Stand Up </w:t>
      </w:r>
      <w:proofErr w:type="spellStart"/>
      <w:r>
        <w:rPr>
          <w:rStyle w:val="ctrllabelvalue1"/>
          <w:rFonts w:ascii="Arial" w:hAnsi="Arial"/>
          <w:spacing w:val="0"/>
          <w:sz w:val="20"/>
        </w:rPr>
        <w:t>Paddling</w:t>
      </w:r>
      <w:proofErr w:type="spellEnd"/>
      <w:r>
        <w:rPr>
          <w:rStyle w:val="ctrllabelvalue1"/>
          <w:rFonts w:ascii="Arial" w:hAnsi="Arial"/>
          <w:spacing w:val="0"/>
          <w:sz w:val="20"/>
        </w:rPr>
        <w:t>) se déroulera pour la première fois à la SuisseNautic 2015 ; tout le monde peut y participer (qualifications les mer/jeu/</w:t>
      </w:r>
      <w:proofErr w:type="spellStart"/>
      <w:r>
        <w:rPr>
          <w:rStyle w:val="ctrllabelvalue1"/>
          <w:rFonts w:ascii="Arial" w:hAnsi="Arial"/>
          <w:spacing w:val="0"/>
          <w:sz w:val="20"/>
        </w:rPr>
        <w:t>ven</w:t>
      </w:r>
      <w:proofErr w:type="spellEnd"/>
      <w:r>
        <w:rPr>
          <w:rStyle w:val="ctrllabelvalue1"/>
          <w:rFonts w:ascii="Arial" w:hAnsi="Arial"/>
          <w:spacing w:val="0"/>
          <w:sz w:val="20"/>
        </w:rPr>
        <w:t>, finale le samedi).</w:t>
      </w:r>
    </w:p>
    <w:p w:rsidR="008F0134" w:rsidRPr="00410974" w:rsidRDefault="008F0134" w:rsidP="008F0134">
      <w:pPr>
        <w:pStyle w:val="StandardWeb"/>
        <w:keepNext/>
        <w:suppressAutoHyphens w:val="0"/>
        <w:spacing w:before="0" w:after="240" w:line="336" w:lineRule="auto"/>
        <w:rPr>
          <w:rFonts w:ascii="Arial" w:hAnsi="Arial" w:cs="Arial"/>
          <w:b/>
          <w:sz w:val="20"/>
          <w:szCs w:val="20"/>
        </w:rPr>
      </w:pPr>
      <w:r>
        <w:rPr>
          <w:rFonts w:ascii="Arial" w:hAnsi="Arial"/>
          <w:b/>
          <w:sz w:val="20"/>
        </w:rPr>
        <w:t>Aperçu des expositions spéciales et des temps forts</w:t>
      </w:r>
    </w:p>
    <w:tbl>
      <w:tblPr>
        <w:tblW w:w="9460" w:type="dxa"/>
        <w:tblInd w:w="55" w:type="dxa"/>
        <w:tblCellMar>
          <w:left w:w="70" w:type="dxa"/>
          <w:right w:w="70" w:type="dxa"/>
        </w:tblCellMar>
        <w:tblLook w:val="04A0" w:firstRow="1" w:lastRow="0" w:firstColumn="1" w:lastColumn="0" w:noHBand="0" w:noVBand="1"/>
      </w:tblPr>
      <w:tblGrid>
        <w:gridCol w:w="4335"/>
        <w:gridCol w:w="1185"/>
        <w:gridCol w:w="1460"/>
        <w:gridCol w:w="2480"/>
      </w:tblGrid>
      <w:tr w:rsidR="008F0134" w:rsidRPr="007002D9" w:rsidTr="00303602">
        <w:trPr>
          <w:trHeight w:val="528"/>
        </w:trPr>
        <w:tc>
          <w:tcPr>
            <w:tcW w:w="4480" w:type="dxa"/>
            <w:tcBorders>
              <w:top w:val="nil"/>
              <w:left w:val="nil"/>
              <w:bottom w:val="nil"/>
              <w:right w:val="nil"/>
            </w:tcBorders>
            <w:shd w:val="clear" w:color="auto" w:fill="auto"/>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Championnat suisse SUP Indoor : Qualifications (participation ouverte à tous)</w:t>
            </w:r>
          </w:p>
        </w:tc>
        <w:tc>
          <w:tcPr>
            <w:tcW w:w="104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mer/jeu/</w:t>
            </w:r>
            <w:proofErr w:type="spellStart"/>
            <w:r>
              <w:rPr>
                <w:color w:val="000000"/>
                <w:spacing w:val="0"/>
              </w:rPr>
              <w:t>ven</w:t>
            </w:r>
            <w:proofErr w:type="spellEnd"/>
          </w:p>
        </w:tc>
        <w:tc>
          <w:tcPr>
            <w:tcW w:w="146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15 h 00 – 16 h 00</w:t>
            </w:r>
          </w:p>
        </w:tc>
        <w:tc>
          <w:tcPr>
            <w:tcW w:w="248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Halle 3.2, bassin de la SuisseNautic</w:t>
            </w:r>
          </w:p>
        </w:tc>
      </w:tr>
      <w:tr w:rsidR="008F0134" w:rsidRPr="007002D9" w:rsidTr="00303602">
        <w:trPr>
          <w:trHeight w:val="264"/>
        </w:trPr>
        <w:tc>
          <w:tcPr>
            <w:tcW w:w="4480" w:type="dxa"/>
            <w:tcBorders>
              <w:top w:val="nil"/>
              <w:left w:val="nil"/>
              <w:bottom w:val="nil"/>
              <w:right w:val="nil"/>
            </w:tcBorders>
            <w:shd w:val="clear" w:color="auto" w:fill="auto"/>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Championnat suisse SUP : Finale</w:t>
            </w:r>
          </w:p>
        </w:tc>
        <w:tc>
          <w:tcPr>
            <w:tcW w:w="104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proofErr w:type="spellStart"/>
            <w:r>
              <w:rPr>
                <w:color w:val="000000"/>
                <w:spacing w:val="0"/>
              </w:rPr>
              <w:t>sam</w:t>
            </w:r>
            <w:proofErr w:type="spellEnd"/>
          </w:p>
        </w:tc>
        <w:tc>
          <w:tcPr>
            <w:tcW w:w="146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15 h 00 – 17 h 00</w:t>
            </w:r>
          </w:p>
        </w:tc>
        <w:tc>
          <w:tcPr>
            <w:tcW w:w="248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Halle 3.2, bassin de la SuisseNautic</w:t>
            </w:r>
          </w:p>
        </w:tc>
      </w:tr>
      <w:tr w:rsidR="008F0134" w:rsidRPr="007002D9" w:rsidTr="00303602">
        <w:trPr>
          <w:trHeight w:val="264"/>
        </w:trPr>
        <w:tc>
          <w:tcPr>
            <w:tcW w:w="4480" w:type="dxa"/>
            <w:tcBorders>
              <w:top w:val="nil"/>
              <w:left w:val="nil"/>
              <w:bottom w:val="nil"/>
              <w:right w:val="nil"/>
            </w:tcBorders>
            <w:shd w:val="clear" w:color="auto" w:fill="auto"/>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Démonstrations de chiens de sauvetage aquatique</w:t>
            </w:r>
          </w:p>
        </w:tc>
        <w:tc>
          <w:tcPr>
            <w:tcW w:w="104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tous les jours</w:t>
            </w:r>
          </w:p>
        </w:tc>
        <w:tc>
          <w:tcPr>
            <w:tcW w:w="146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plusieurs fois</w:t>
            </w:r>
          </w:p>
        </w:tc>
        <w:tc>
          <w:tcPr>
            <w:tcW w:w="248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Halle 3.2, bassin de la SuisseNautic</w:t>
            </w:r>
          </w:p>
        </w:tc>
      </w:tr>
      <w:tr w:rsidR="008F0134" w:rsidRPr="007002D9" w:rsidTr="00303602">
        <w:trPr>
          <w:trHeight w:val="528"/>
        </w:trPr>
        <w:tc>
          <w:tcPr>
            <w:tcW w:w="4480" w:type="dxa"/>
            <w:tcBorders>
              <w:top w:val="nil"/>
              <w:left w:val="nil"/>
              <w:bottom w:val="nil"/>
              <w:right w:val="nil"/>
            </w:tcBorders>
            <w:shd w:val="clear" w:color="auto" w:fill="auto"/>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Démonstrations de la Société suisse de sauvetage SSS,</w:t>
            </w:r>
          </w:p>
        </w:tc>
        <w:tc>
          <w:tcPr>
            <w:tcW w:w="104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tous les jours</w:t>
            </w:r>
          </w:p>
        </w:tc>
        <w:tc>
          <w:tcPr>
            <w:tcW w:w="146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11 h 00 – 11 h 30</w:t>
            </w:r>
          </w:p>
        </w:tc>
        <w:tc>
          <w:tcPr>
            <w:tcW w:w="248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Halle 3.2, bassin de la SuisseNautic</w:t>
            </w:r>
          </w:p>
        </w:tc>
      </w:tr>
      <w:tr w:rsidR="008F0134" w:rsidRPr="007002D9" w:rsidTr="00303602">
        <w:trPr>
          <w:trHeight w:val="264"/>
        </w:trPr>
        <w:tc>
          <w:tcPr>
            <w:tcW w:w="4480" w:type="dxa"/>
            <w:tcBorders>
              <w:top w:val="nil"/>
              <w:left w:val="nil"/>
              <w:bottom w:val="nil"/>
              <w:right w:val="nil"/>
            </w:tcBorders>
            <w:shd w:val="clear" w:color="auto" w:fill="auto"/>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Waterpolo SUP</w:t>
            </w:r>
          </w:p>
        </w:tc>
        <w:tc>
          <w:tcPr>
            <w:tcW w:w="104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tous les jours</w:t>
            </w:r>
          </w:p>
        </w:tc>
        <w:tc>
          <w:tcPr>
            <w:tcW w:w="146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12 h 00 – 13 h 00</w:t>
            </w:r>
          </w:p>
        </w:tc>
        <w:tc>
          <w:tcPr>
            <w:tcW w:w="248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Halle 3.2, bassin de la SuisseNautic</w:t>
            </w:r>
          </w:p>
        </w:tc>
      </w:tr>
      <w:tr w:rsidR="008F0134" w:rsidRPr="007002D9" w:rsidTr="00303602">
        <w:trPr>
          <w:trHeight w:val="264"/>
        </w:trPr>
        <w:tc>
          <w:tcPr>
            <w:tcW w:w="4480" w:type="dxa"/>
            <w:tcBorders>
              <w:top w:val="nil"/>
              <w:left w:val="nil"/>
              <w:bottom w:val="nil"/>
              <w:right w:val="nil"/>
            </w:tcBorders>
            <w:shd w:val="clear" w:color="auto" w:fill="auto"/>
            <w:tcMar>
              <w:bottom w:w="85" w:type="dxa"/>
            </w:tcMar>
            <w:hideMark/>
          </w:tcPr>
          <w:p w:rsidR="008F0134" w:rsidRPr="007002D9" w:rsidRDefault="008F0134" w:rsidP="008F0134">
            <w:pPr>
              <w:tabs>
                <w:tab w:val="clear" w:pos="567"/>
                <w:tab w:val="clear" w:pos="851"/>
              </w:tabs>
              <w:spacing w:line="240" w:lineRule="auto"/>
              <w:rPr>
                <w:rFonts w:cs="Arial"/>
                <w:color w:val="000000"/>
                <w:spacing w:val="0"/>
                <w:szCs w:val="20"/>
              </w:rPr>
            </w:pPr>
            <w:r>
              <w:rPr>
                <w:color w:val="000000"/>
                <w:spacing w:val="0"/>
              </w:rPr>
              <w:t>Exposition spéciale</w:t>
            </w:r>
            <w:r>
              <w:rPr>
                <w:color w:val="000000"/>
                <w:spacing w:val="0"/>
              </w:rPr>
              <w:t xml:space="preserve"> </w:t>
            </w:r>
            <w:r w:rsidRPr="008F0134">
              <w:rPr>
                <w:color w:val="000000"/>
                <w:spacing w:val="0"/>
              </w:rPr>
              <w:t>Musée des transports</w:t>
            </w:r>
            <w:r>
              <w:rPr>
                <w:color w:val="000000"/>
                <w:spacing w:val="0"/>
              </w:rPr>
              <w:t xml:space="preserve"> avec un simulateur à voile</w:t>
            </w:r>
          </w:p>
        </w:tc>
        <w:tc>
          <w:tcPr>
            <w:tcW w:w="104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tous les jours</w:t>
            </w:r>
          </w:p>
        </w:tc>
        <w:tc>
          <w:tcPr>
            <w:tcW w:w="146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En continu</w:t>
            </w:r>
          </w:p>
        </w:tc>
        <w:tc>
          <w:tcPr>
            <w:tcW w:w="248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Halle 3.1</w:t>
            </w:r>
          </w:p>
        </w:tc>
      </w:tr>
      <w:tr w:rsidR="008F0134" w:rsidRPr="007002D9" w:rsidTr="00303602">
        <w:trPr>
          <w:trHeight w:val="264"/>
        </w:trPr>
        <w:tc>
          <w:tcPr>
            <w:tcW w:w="4480" w:type="dxa"/>
            <w:tcBorders>
              <w:top w:val="nil"/>
              <w:left w:val="nil"/>
              <w:bottom w:val="nil"/>
              <w:right w:val="nil"/>
            </w:tcBorders>
            <w:shd w:val="clear" w:color="auto" w:fill="auto"/>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 xml:space="preserve">Associations de classes de </w:t>
            </w:r>
            <w:proofErr w:type="spellStart"/>
            <w:r>
              <w:rPr>
                <w:color w:val="000000"/>
                <w:spacing w:val="0"/>
              </w:rPr>
              <w:t>Swiss</w:t>
            </w:r>
            <w:proofErr w:type="spellEnd"/>
            <w:r>
              <w:rPr>
                <w:color w:val="000000"/>
                <w:spacing w:val="0"/>
              </w:rPr>
              <w:t xml:space="preserve"> </w:t>
            </w:r>
            <w:proofErr w:type="spellStart"/>
            <w:r>
              <w:rPr>
                <w:color w:val="000000"/>
                <w:spacing w:val="0"/>
              </w:rPr>
              <w:t>Sailing</w:t>
            </w:r>
            <w:proofErr w:type="spellEnd"/>
          </w:p>
        </w:tc>
        <w:tc>
          <w:tcPr>
            <w:tcW w:w="104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tous les jours</w:t>
            </w:r>
          </w:p>
        </w:tc>
        <w:tc>
          <w:tcPr>
            <w:tcW w:w="146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En continu</w:t>
            </w:r>
          </w:p>
        </w:tc>
        <w:tc>
          <w:tcPr>
            <w:tcW w:w="248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Halle 3.2</w:t>
            </w:r>
          </w:p>
        </w:tc>
      </w:tr>
      <w:tr w:rsidR="008F0134" w:rsidRPr="007002D9" w:rsidTr="00303602">
        <w:trPr>
          <w:trHeight w:val="528"/>
        </w:trPr>
        <w:tc>
          <w:tcPr>
            <w:tcW w:w="4480" w:type="dxa"/>
            <w:tcBorders>
              <w:top w:val="nil"/>
              <w:left w:val="nil"/>
              <w:bottom w:val="nil"/>
              <w:right w:val="nil"/>
            </w:tcBorders>
            <w:shd w:val="clear" w:color="auto" w:fill="auto"/>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Stand des apprentis de l’Association suisse des constructeurs navals (ASCN)</w:t>
            </w:r>
          </w:p>
        </w:tc>
        <w:tc>
          <w:tcPr>
            <w:tcW w:w="104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tous les jours</w:t>
            </w:r>
          </w:p>
        </w:tc>
        <w:tc>
          <w:tcPr>
            <w:tcW w:w="146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En continu</w:t>
            </w:r>
          </w:p>
        </w:tc>
        <w:tc>
          <w:tcPr>
            <w:tcW w:w="248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Halle d’entrée 2.1</w:t>
            </w:r>
          </w:p>
        </w:tc>
      </w:tr>
      <w:tr w:rsidR="008F0134" w:rsidRPr="007002D9" w:rsidTr="00303602">
        <w:trPr>
          <w:trHeight w:val="528"/>
        </w:trPr>
        <w:tc>
          <w:tcPr>
            <w:tcW w:w="4480" w:type="dxa"/>
            <w:tcBorders>
              <w:top w:val="nil"/>
              <w:left w:val="nil"/>
              <w:bottom w:val="nil"/>
              <w:right w:val="nil"/>
            </w:tcBorders>
            <w:shd w:val="clear" w:color="auto" w:fill="auto"/>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Concentration de compétences au stand d’information commun du SuisseNautic Center</w:t>
            </w:r>
          </w:p>
        </w:tc>
        <w:tc>
          <w:tcPr>
            <w:tcW w:w="104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tous les jours</w:t>
            </w:r>
          </w:p>
        </w:tc>
        <w:tc>
          <w:tcPr>
            <w:tcW w:w="146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En continu</w:t>
            </w:r>
          </w:p>
        </w:tc>
        <w:tc>
          <w:tcPr>
            <w:tcW w:w="248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Halle 3.0</w:t>
            </w:r>
          </w:p>
        </w:tc>
      </w:tr>
      <w:tr w:rsidR="008F0134" w:rsidRPr="007002D9" w:rsidTr="00303602">
        <w:trPr>
          <w:trHeight w:val="264"/>
        </w:trPr>
        <w:tc>
          <w:tcPr>
            <w:tcW w:w="4480" w:type="dxa"/>
            <w:tcBorders>
              <w:top w:val="nil"/>
              <w:left w:val="nil"/>
              <w:bottom w:val="nil"/>
              <w:right w:val="nil"/>
            </w:tcBorders>
            <w:shd w:val="clear" w:color="auto" w:fill="auto"/>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Exposé sur l’expédition au Groenland</w:t>
            </w:r>
          </w:p>
        </w:tc>
        <w:tc>
          <w:tcPr>
            <w:tcW w:w="104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tous les jours</w:t>
            </w:r>
          </w:p>
        </w:tc>
        <w:tc>
          <w:tcPr>
            <w:tcW w:w="146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14 h 00 – 14 h 20</w:t>
            </w:r>
          </w:p>
        </w:tc>
        <w:tc>
          <w:tcPr>
            <w:tcW w:w="248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Halle 3.2, stand A02</w:t>
            </w:r>
          </w:p>
        </w:tc>
      </w:tr>
      <w:tr w:rsidR="008F0134" w:rsidRPr="007002D9" w:rsidTr="00303602">
        <w:trPr>
          <w:trHeight w:val="552"/>
        </w:trPr>
        <w:tc>
          <w:tcPr>
            <w:tcW w:w="4480" w:type="dxa"/>
            <w:tcBorders>
              <w:top w:val="nil"/>
              <w:left w:val="nil"/>
              <w:bottom w:val="nil"/>
              <w:right w:val="nil"/>
            </w:tcBorders>
            <w:shd w:val="clear" w:color="auto" w:fill="auto"/>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Séance d’autographes avec l’équipage féminin de 470 : Linda </w:t>
            </w:r>
            <w:proofErr w:type="spellStart"/>
            <w:r>
              <w:rPr>
                <w:color w:val="000000"/>
                <w:spacing w:val="0"/>
              </w:rPr>
              <w:t>Fahrni</w:t>
            </w:r>
            <w:proofErr w:type="spellEnd"/>
            <w:r>
              <w:rPr>
                <w:color w:val="000000"/>
                <w:spacing w:val="0"/>
              </w:rPr>
              <w:t xml:space="preserve"> et Maja Siegenthaler</w:t>
            </w:r>
          </w:p>
        </w:tc>
        <w:tc>
          <w:tcPr>
            <w:tcW w:w="104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proofErr w:type="spellStart"/>
            <w:r>
              <w:rPr>
                <w:color w:val="000000"/>
                <w:spacing w:val="0"/>
              </w:rPr>
              <w:t>ven</w:t>
            </w:r>
            <w:proofErr w:type="spellEnd"/>
          </w:p>
        </w:tc>
        <w:tc>
          <w:tcPr>
            <w:tcW w:w="146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16 h 00 – 17 h 00</w:t>
            </w:r>
          </w:p>
        </w:tc>
        <w:tc>
          <w:tcPr>
            <w:tcW w:w="248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Halle 3.2, stand E14</w:t>
            </w:r>
          </w:p>
        </w:tc>
      </w:tr>
      <w:tr w:rsidR="008F0134" w:rsidRPr="007002D9" w:rsidTr="00303602">
        <w:trPr>
          <w:trHeight w:val="264"/>
        </w:trPr>
        <w:tc>
          <w:tcPr>
            <w:tcW w:w="4480" w:type="dxa"/>
            <w:tcBorders>
              <w:top w:val="nil"/>
              <w:left w:val="nil"/>
              <w:bottom w:val="nil"/>
              <w:right w:val="nil"/>
            </w:tcBorders>
            <w:shd w:val="clear" w:color="auto" w:fill="auto"/>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lastRenderedPageBreak/>
              <w:t>Bassin avec bateaux en modèle réduit pour les plus jeunes</w:t>
            </w:r>
          </w:p>
        </w:tc>
        <w:tc>
          <w:tcPr>
            <w:tcW w:w="104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tous les jours</w:t>
            </w:r>
          </w:p>
        </w:tc>
        <w:tc>
          <w:tcPr>
            <w:tcW w:w="146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En continu</w:t>
            </w:r>
          </w:p>
        </w:tc>
        <w:tc>
          <w:tcPr>
            <w:tcW w:w="248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Halle 2.0</w:t>
            </w:r>
          </w:p>
        </w:tc>
      </w:tr>
      <w:tr w:rsidR="008F0134" w:rsidRPr="007002D9" w:rsidTr="00303602">
        <w:trPr>
          <w:trHeight w:val="264"/>
        </w:trPr>
        <w:tc>
          <w:tcPr>
            <w:tcW w:w="4480" w:type="dxa"/>
            <w:tcBorders>
              <w:top w:val="nil"/>
              <w:left w:val="nil"/>
              <w:bottom w:val="nil"/>
              <w:right w:val="nil"/>
            </w:tcBorders>
            <w:shd w:val="clear" w:color="auto" w:fill="auto"/>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Duel Match-Racing «Bateau contre bateau» sur simulateur</w:t>
            </w:r>
          </w:p>
        </w:tc>
        <w:tc>
          <w:tcPr>
            <w:tcW w:w="104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tous les jours</w:t>
            </w:r>
          </w:p>
        </w:tc>
        <w:tc>
          <w:tcPr>
            <w:tcW w:w="146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En continu</w:t>
            </w:r>
          </w:p>
        </w:tc>
        <w:tc>
          <w:tcPr>
            <w:tcW w:w="2480" w:type="dxa"/>
            <w:tcBorders>
              <w:top w:val="nil"/>
              <w:left w:val="nil"/>
              <w:bottom w:val="nil"/>
              <w:right w:val="nil"/>
            </w:tcBorders>
            <w:shd w:val="clear" w:color="auto" w:fill="auto"/>
            <w:noWrap/>
            <w:tcMar>
              <w:bottom w:w="85" w:type="dxa"/>
            </w:tcMar>
            <w:hideMark/>
          </w:tcPr>
          <w:p w:rsidR="008F0134" w:rsidRPr="007002D9" w:rsidRDefault="008F0134" w:rsidP="00303602">
            <w:pPr>
              <w:tabs>
                <w:tab w:val="clear" w:pos="567"/>
                <w:tab w:val="clear" w:pos="851"/>
              </w:tabs>
              <w:spacing w:line="240" w:lineRule="auto"/>
              <w:rPr>
                <w:rFonts w:cs="Arial"/>
                <w:color w:val="000000"/>
                <w:spacing w:val="0"/>
                <w:szCs w:val="20"/>
              </w:rPr>
            </w:pPr>
            <w:r>
              <w:rPr>
                <w:color w:val="000000"/>
                <w:spacing w:val="0"/>
              </w:rPr>
              <w:t>Halle 3.2, stand B04</w:t>
            </w:r>
          </w:p>
        </w:tc>
      </w:tr>
    </w:tbl>
    <w:p w:rsidR="008F0134" w:rsidRDefault="008F0134" w:rsidP="008F0134">
      <w:pPr>
        <w:spacing w:after="240" w:line="336" w:lineRule="auto"/>
        <w:jc w:val="both"/>
        <w:rPr>
          <w:rStyle w:val="ctrllabelvalue1"/>
          <w:rFonts w:ascii="Arial" w:hAnsi="Arial"/>
          <w:spacing w:val="0"/>
          <w:sz w:val="20"/>
        </w:rPr>
      </w:pPr>
    </w:p>
    <w:p w:rsidR="00DC078F" w:rsidRPr="005B40D4" w:rsidRDefault="00DC078F" w:rsidP="003C6720">
      <w:pPr>
        <w:pBdr>
          <w:top w:val="single" w:sz="4" w:space="1" w:color="000000"/>
          <w:left w:val="single" w:sz="4" w:space="4" w:color="000000"/>
          <w:bottom w:val="single" w:sz="4" w:space="1" w:color="000000"/>
          <w:right w:val="single" w:sz="4" w:space="5" w:color="000000"/>
        </w:pBdr>
        <w:tabs>
          <w:tab w:val="clear" w:pos="567"/>
        </w:tabs>
        <w:autoSpaceDE w:val="0"/>
        <w:spacing w:line="336" w:lineRule="auto"/>
        <w:rPr>
          <w:rFonts w:cs="Arial"/>
          <w:bCs/>
          <w:sz w:val="10"/>
          <w:szCs w:val="10"/>
        </w:rPr>
      </w:pPr>
    </w:p>
    <w:p w:rsidR="00DC078F" w:rsidRPr="00766A38" w:rsidRDefault="00766A38" w:rsidP="003C6720">
      <w:pPr>
        <w:pBdr>
          <w:top w:val="single" w:sz="4" w:space="1" w:color="000000"/>
          <w:left w:val="single" w:sz="4" w:space="4" w:color="000000"/>
          <w:bottom w:val="single" w:sz="4" w:space="1" w:color="000000"/>
          <w:right w:val="single" w:sz="4" w:space="5" w:color="000000"/>
        </w:pBdr>
        <w:tabs>
          <w:tab w:val="clear" w:pos="567"/>
        </w:tabs>
        <w:autoSpaceDE w:val="0"/>
        <w:spacing w:after="240" w:line="336" w:lineRule="auto"/>
        <w:rPr>
          <w:rFonts w:cs="Arial"/>
          <w:b/>
          <w:bCs/>
          <w:szCs w:val="20"/>
        </w:rPr>
      </w:pPr>
      <w:r w:rsidRPr="00766A38">
        <w:rPr>
          <w:b/>
        </w:rPr>
        <w:t xml:space="preserve">La </w:t>
      </w:r>
      <w:r w:rsidR="00DC078F" w:rsidRPr="00766A38">
        <w:rPr>
          <w:b/>
        </w:rPr>
        <w:t xml:space="preserve">SuisseNautic </w:t>
      </w:r>
      <w:r w:rsidRPr="00766A38">
        <w:rPr>
          <w:b/>
        </w:rPr>
        <w:t>en bref</w:t>
      </w:r>
    </w:p>
    <w:p w:rsidR="009178CE" w:rsidRPr="00766A38" w:rsidRDefault="00766A38" w:rsidP="003C6720">
      <w:pPr>
        <w:pBdr>
          <w:top w:val="single" w:sz="4" w:space="1" w:color="000000"/>
          <w:left w:val="single" w:sz="4" w:space="4" w:color="000000"/>
          <w:bottom w:val="single" w:sz="4" w:space="1" w:color="000000"/>
          <w:right w:val="single" w:sz="4" w:space="5" w:color="000000"/>
        </w:pBdr>
        <w:tabs>
          <w:tab w:val="clear" w:pos="567"/>
        </w:tabs>
        <w:autoSpaceDE w:val="0"/>
        <w:spacing w:line="336" w:lineRule="auto"/>
        <w:rPr>
          <w:rFonts w:cs="Arial"/>
          <w:bCs/>
          <w:szCs w:val="20"/>
        </w:rPr>
      </w:pPr>
      <w:r w:rsidRPr="00766A38">
        <w:t>Exposition</w:t>
      </w:r>
      <w:r w:rsidR="00DC078F" w:rsidRPr="00766A38">
        <w:t>:</w:t>
      </w:r>
      <w:r w:rsidR="00DC078F" w:rsidRPr="00766A38">
        <w:tab/>
      </w:r>
      <w:r w:rsidR="00DC078F" w:rsidRPr="00766A38">
        <w:tab/>
        <w:t xml:space="preserve">SuisseNautic – </w:t>
      </w:r>
      <w:r>
        <w:t>8</w:t>
      </w:r>
      <w:r w:rsidRPr="00364B9F">
        <w:rPr>
          <w:vertAlign w:val="superscript"/>
        </w:rPr>
        <w:t>e</w:t>
      </w:r>
      <w:r w:rsidR="00DC078F" w:rsidRPr="00766A38">
        <w:t xml:space="preserve"> </w:t>
      </w:r>
      <w:r w:rsidRPr="00766A38">
        <w:t>salon national du nautisme et des sports nautiques</w:t>
      </w:r>
    </w:p>
    <w:p w:rsidR="00DC078F" w:rsidRPr="00766A38" w:rsidRDefault="00766A38"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rPr>
      </w:pPr>
      <w:r>
        <w:t>Date</w:t>
      </w:r>
      <w:r w:rsidR="00DC078F" w:rsidRPr="00766A38">
        <w:t xml:space="preserve">: </w:t>
      </w:r>
      <w:r w:rsidR="00DC078F" w:rsidRPr="00766A38">
        <w:tab/>
      </w:r>
      <w:r w:rsidR="00DC078F" w:rsidRPr="00766A38">
        <w:tab/>
      </w:r>
      <w:r w:rsidRPr="00766A38">
        <w:t>mercredi 18 au dimanche 22 février 2015</w:t>
      </w:r>
    </w:p>
    <w:p w:rsidR="009178CE" w:rsidRPr="002A66AD" w:rsidRDefault="00766A38"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rPr>
      </w:pPr>
      <w:r w:rsidRPr="002A66AD">
        <w:t>Lieu</w:t>
      </w:r>
      <w:r w:rsidR="00DC078F" w:rsidRPr="002A66AD">
        <w:t xml:space="preserve">: </w:t>
      </w:r>
      <w:r w:rsidR="00DC078F" w:rsidRPr="002A66AD">
        <w:tab/>
      </w:r>
      <w:r w:rsidR="00DC078F" w:rsidRPr="002A66AD">
        <w:tab/>
      </w:r>
      <w:r w:rsidR="002A66AD" w:rsidRPr="002A66AD">
        <w:t xml:space="preserve">Aire d’exposition </w:t>
      </w:r>
      <w:r w:rsidR="00364B9F">
        <w:t>de</w:t>
      </w:r>
      <w:r w:rsidR="002A66AD">
        <w:t xml:space="preserve"> </w:t>
      </w:r>
      <w:r w:rsidR="00DC078F" w:rsidRPr="002A66AD">
        <w:t>BERNEXPO, Bern</w:t>
      </w:r>
      <w:r w:rsidR="002A66AD" w:rsidRPr="002A66AD">
        <w:t>e</w:t>
      </w:r>
    </w:p>
    <w:p w:rsidR="00DC078F" w:rsidRPr="00766A38" w:rsidRDefault="00766A38"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rPr>
      </w:pPr>
      <w:r w:rsidRPr="00766A38">
        <w:t>Heures d‘ouverture</w:t>
      </w:r>
      <w:r w:rsidR="00DC078F" w:rsidRPr="00766A38">
        <w:t>:</w:t>
      </w:r>
      <w:r w:rsidR="00DC078F" w:rsidRPr="00766A38">
        <w:tab/>
      </w:r>
      <w:r w:rsidRPr="00766A38">
        <w:t>Tous les jours de 10h00 à 18h00</w:t>
      </w:r>
    </w:p>
    <w:p w:rsidR="00DC078F" w:rsidRPr="00766A38" w:rsidRDefault="00766A38"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rPr>
      </w:pPr>
      <w:r w:rsidRPr="00766A38">
        <w:t>Billets</w:t>
      </w:r>
      <w:r w:rsidR="00DC078F" w:rsidRPr="00766A38">
        <w:t>:</w:t>
      </w:r>
      <w:r w:rsidR="00DC078F" w:rsidRPr="00766A38">
        <w:tab/>
      </w:r>
      <w:r w:rsidR="00DC078F" w:rsidRPr="00766A38">
        <w:tab/>
      </w:r>
      <w:hyperlink r:id="rId7" w:history="1">
        <w:r w:rsidRPr="00766A38">
          <w:rPr>
            <w:rStyle w:val="Hyperlink"/>
          </w:rPr>
          <w:t>www.suissenautic.ch/billetterie</w:t>
        </w:r>
      </w:hyperlink>
    </w:p>
    <w:p w:rsidR="00DC078F" w:rsidRPr="00766A38" w:rsidRDefault="00766A38"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before="240" w:line="336" w:lineRule="auto"/>
        <w:rPr>
          <w:rFonts w:cs="Arial"/>
          <w:bCs/>
          <w:szCs w:val="20"/>
        </w:rPr>
      </w:pPr>
      <w:r w:rsidRPr="00766A38">
        <w:t>Organisation</w:t>
      </w:r>
      <w:r w:rsidR="00E45410">
        <w:t>:</w:t>
      </w:r>
      <w:r w:rsidR="00E45410">
        <w:tab/>
      </w:r>
      <w:r w:rsidR="00E45410">
        <w:tab/>
        <w:t>BERNEXPO SA</w:t>
      </w:r>
      <w:r w:rsidR="0037129B" w:rsidRPr="00766A38">
        <w:rPr>
          <w:rFonts w:cs="Arial"/>
          <w:bCs/>
          <w:szCs w:val="20"/>
        </w:rPr>
        <w:br/>
      </w:r>
      <w:r w:rsidRPr="00766A38">
        <w:t>Patronage</w:t>
      </w:r>
      <w:r w:rsidR="0037129B" w:rsidRPr="00766A38">
        <w:t xml:space="preserve">: </w:t>
      </w:r>
      <w:r w:rsidR="0037129B" w:rsidRPr="00766A38">
        <w:tab/>
      </w:r>
      <w:r w:rsidR="0037129B" w:rsidRPr="00766A38">
        <w:tab/>
      </w:r>
      <w:r w:rsidRPr="00766A38">
        <w:t>Association Suisse des Constructeurs Navals</w:t>
      </w:r>
      <w:r>
        <w:t xml:space="preserve"> (ASCN)</w:t>
      </w:r>
    </w:p>
    <w:p w:rsidR="00DC078F" w:rsidRPr="00766A38" w:rsidRDefault="00766A38" w:rsidP="003C6720">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36" w:lineRule="auto"/>
        <w:rPr>
          <w:rFonts w:cs="Arial"/>
          <w:bCs/>
          <w:szCs w:val="20"/>
        </w:rPr>
      </w:pPr>
      <w:r w:rsidRPr="00766A38">
        <w:t>Partenaire média</w:t>
      </w:r>
      <w:r w:rsidR="00DC078F" w:rsidRPr="00766A38">
        <w:t>:</w:t>
      </w:r>
      <w:r w:rsidR="00DC078F" w:rsidRPr="00766A38">
        <w:tab/>
      </w:r>
      <w:r w:rsidR="00DC078F" w:rsidRPr="00766A38">
        <w:tab/>
        <w:t>marina.ch</w:t>
      </w:r>
    </w:p>
    <w:p w:rsidR="00DC078F" w:rsidRPr="00766A38" w:rsidRDefault="00DC078F" w:rsidP="0037129B">
      <w:pPr>
        <w:pBdr>
          <w:top w:val="single" w:sz="4" w:space="1" w:color="000000"/>
          <w:left w:val="single" w:sz="4" w:space="4" w:color="000000"/>
          <w:bottom w:val="single" w:sz="4" w:space="1" w:color="000000"/>
          <w:right w:val="single" w:sz="4" w:space="5" w:color="000000"/>
        </w:pBdr>
        <w:tabs>
          <w:tab w:val="clear" w:pos="567"/>
          <w:tab w:val="clear" w:pos="851"/>
          <w:tab w:val="left" w:pos="1701"/>
        </w:tabs>
        <w:autoSpaceDE w:val="0"/>
        <w:spacing w:line="312" w:lineRule="auto"/>
        <w:rPr>
          <w:rFonts w:cs="Arial"/>
          <w:bCs/>
          <w:sz w:val="10"/>
          <w:szCs w:val="10"/>
        </w:rPr>
      </w:pPr>
    </w:p>
    <w:p w:rsidR="00806B62" w:rsidRDefault="00806B62" w:rsidP="0031074D">
      <w:pPr>
        <w:spacing w:line="312" w:lineRule="auto"/>
        <w:rPr>
          <w:rFonts w:cs="Arial"/>
          <w:szCs w:val="20"/>
        </w:rPr>
      </w:pPr>
    </w:p>
    <w:p w:rsidR="0079581C" w:rsidRPr="00766A38" w:rsidRDefault="0079581C" w:rsidP="0031074D">
      <w:pPr>
        <w:spacing w:line="312" w:lineRule="auto"/>
        <w:rPr>
          <w:rFonts w:cs="Arial"/>
          <w:szCs w:val="20"/>
        </w:rPr>
      </w:pPr>
    </w:p>
    <w:p w:rsidR="00540F8E" w:rsidRPr="00766A38" w:rsidRDefault="00766A38" w:rsidP="00540F8E">
      <w:pPr>
        <w:keepNext/>
        <w:spacing w:after="120" w:line="312" w:lineRule="auto"/>
        <w:rPr>
          <w:rStyle w:val="ctrllabelvalue1"/>
          <w:rFonts w:ascii="Arial" w:hAnsi="Arial"/>
          <w:b/>
          <w:bCs/>
          <w:spacing w:val="0"/>
          <w:sz w:val="20"/>
          <w:szCs w:val="20"/>
        </w:rPr>
      </w:pPr>
      <w:r w:rsidRPr="00766A38">
        <w:rPr>
          <w:rStyle w:val="ctrllabelvalue1"/>
          <w:rFonts w:ascii="Arial" w:hAnsi="Arial"/>
          <w:b/>
          <w:spacing w:val="0"/>
          <w:sz w:val="20"/>
        </w:rPr>
        <w:t>Informations p</w:t>
      </w:r>
      <w:r>
        <w:rPr>
          <w:rStyle w:val="ctrllabelvalue1"/>
          <w:rFonts w:ascii="Arial" w:hAnsi="Arial"/>
          <w:b/>
          <w:spacing w:val="0"/>
          <w:sz w:val="20"/>
        </w:rPr>
        <w:t>our les journalistes</w:t>
      </w:r>
    </w:p>
    <w:p w:rsidR="00614289" w:rsidRPr="00766A38" w:rsidRDefault="00766A38" w:rsidP="00614289">
      <w:pPr>
        <w:pStyle w:val="StandardWeb"/>
        <w:suppressAutoHyphens w:val="0"/>
        <w:spacing w:before="0" w:after="120" w:line="312" w:lineRule="auto"/>
        <w:rPr>
          <w:rFonts w:ascii="Arial" w:hAnsi="Arial" w:cs="Arial"/>
          <w:sz w:val="20"/>
          <w:szCs w:val="20"/>
        </w:rPr>
      </w:pPr>
      <w:r>
        <w:rPr>
          <w:rFonts w:ascii="Arial" w:hAnsi="Arial"/>
          <w:sz w:val="20"/>
        </w:rPr>
        <w:t>C</w:t>
      </w:r>
      <w:r w:rsidRPr="00766A38">
        <w:rPr>
          <w:rFonts w:ascii="Arial" w:hAnsi="Arial"/>
          <w:sz w:val="20"/>
        </w:rPr>
        <w:t>aractères (espaces compris)</w:t>
      </w:r>
      <w:r>
        <w:rPr>
          <w:rFonts w:ascii="Arial" w:hAnsi="Arial"/>
          <w:sz w:val="20"/>
        </w:rPr>
        <w:t xml:space="preserve">: </w:t>
      </w:r>
      <w:r w:rsidR="008F0134">
        <w:rPr>
          <w:rFonts w:ascii="Arial" w:hAnsi="Arial"/>
          <w:sz w:val="20"/>
        </w:rPr>
        <w:t>2</w:t>
      </w:r>
      <w:r>
        <w:rPr>
          <w:rFonts w:ascii="Arial" w:hAnsi="Arial"/>
          <w:sz w:val="20"/>
        </w:rPr>
        <w:t>‘</w:t>
      </w:r>
      <w:r w:rsidR="008F0134">
        <w:rPr>
          <w:rFonts w:ascii="Arial" w:hAnsi="Arial"/>
          <w:sz w:val="20"/>
        </w:rPr>
        <w:t>375</w:t>
      </w:r>
    </w:p>
    <w:p w:rsidR="00806B62" w:rsidRPr="00766A38" w:rsidRDefault="00766A38" w:rsidP="0031074D">
      <w:pPr>
        <w:pStyle w:val="StandardWeb"/>
        <w:suppressAutoHyphens w:val="0"/>
        <w:spacing w:before="0" w:after="0" w:line="312" w:lineRule="auto"/>
        <w:rPr>
          <w:rFonts w:ascii="Arial" w:hAnsi="Arial" w:cs="Arial"/>
          <w:sz w:val="20"/>
          <w:szCs w:val="20"/>
        </w:rPr>
      </w:pPr>
      <w:r w:rsidRPr="00766A38">
        <w:rPr>
          <w:rFonts w:ascii="Arial" w:hAnsi="Arial"/>
          <w:sz w:val="20"/>
        </w:rPr>
        <w:t>Acc</w:t>
      </w:r>
      <w:r>
        <w:rPr>
          <w:rFonts w:ascii="Arial" w:hAnsi="Arial"/>
          <w:sz w:val="20"/>
        </w:rPr>
        <w:t>réditation</w:t>
      </w:r>
      <w:r w:rsidR="00806B62" w:rsidRPr="00766A38">
        <w:rPr>
          <w:rFonts w:ascii="Arial" w:hAnsi="Arial"/>
          <w:sz w:val="20"/>
        </w:rPr>
        <w:t xml:space="preserve">: </w:t>
      </w:r>
      <w:hyperlink r:id="rId8" w:history="1">
        <w:r w:rsidR="002A66AD" w:rsidRPr="009A0171">
          <w:rPr>
            <w:rStyle w:val="Hyperlink"/>
            <w:rFonts w:ascii="Arial" w:hAnsi="Arial"/>
            <w:sz w:val="20"/>
          </w:rPr>
          <w:t>www.suissenautic.ch/accreditation</w:t>
        </w:r>
      </w:hyperlink>
    </w:p>
    <w:p w:rsidR="00806B62" w:rsidRPr="00766A38" w:rsidRDefault="00766A38" w:rsidP="0031074D">
      <w:pPr>
        <w:spacing w:line="312" w:lineRule="auto"/>
        <w:rPr>
          <w:rFonts w:cs="Arial"/>
          <w:szCs w:val="20"/>
        </w:rPr>
      </w:pPr>
      <w:r w:rsidRPr="00766A38">
        <w:t>Photos de presse</w:t>
      </w:r>
      <w:r w:rsidR="00806B62" w:rsidRPr="00766A38">
        <w:t xml:space="preserve">: </w:t>
      </w:r>
      <w:hyperlink r:id="rId9" w:history="1">
        <w:r w:rsidR="002A66AD" w:rsidRPr="009A0171">
          <w:rPr>
            <w:rStyle w:val="Hyperlink"/>
          </w:rPr>
          <w:t>www.suissenautic.ch/photos-de-presse</w:t>
        </w:r>
      </w:hyperlink>
    </w:p>
    <w:p w:rsidR="00806B62" w:rsidRPr="002A66AD" w:rsidRDefault="002A66AD" w:rsidP="0031074D">
      <w:pPr>
        <w:spacing w:line="312" w:lineRule="auto"/>
        <w:rPr>
          <w:rFonts w:cs="Arial"/>
          <w:szCs w:val="20"/>
        </w:rPr>
      </w:pPr>
      <w:r w:rsidRPr="002A66AD">
        <w:t>Plus d‘informations</w:t>
      </w:r>
      <w:r w:rsidR="00806B62" w:rsidRPr="002A66AD">
        <w:t xml:space="preserve">: </w:t>
      </w:r>
      <w:hyperlink r:id="rId10">
        <w:r w:rsidR="00806B62" w:rsidRPr="002A66AD">
          <w:rPr>
            <w:rStyle w:val="Hyperlink"/>
          </w:rPr>
          <w:t>www.suissenautic.ch</w:t>
        </w:r>
      </w:hyperlink>
    </w:p>
    <w:p w:rsidR="00D940E8" w:rsidRDefault="002A66AD" w:rsidP="00540F8E">
      <w:pPr>
        <w:spacing w:before="120" w:line="312" w:lineRule="auto"/>
      </w:pPr>
      <w:r w:rsidRPr="002A66AD">
        <w:t>Contact médias</w:t>
      </w:r>
      <w:r w:rsidR="00806B62" w:rsidRPr="002A66AD">
        <w:t xml:space="preserve">: </w:t>
      </w:r>
      <w:hyperlink r:id="rId11">
        <w:r w:rsidR="00806B62" w:rsidRPr="002A66AD">
          <w:rPr>
            <w:rStyle w:val="Hyperlink"/>
          </w:rPr>
          <w:t>roger.fuchs@bernexpo.ch</w:t>
        </w:r>
      </w:hyperlink>
      <w:r w:rsidR="00806B62" w:rsidRPr="002A66AD">
        <w:t xml:space="preserve"> / +41 76 344 71 93</w:t>
      </w:r>
    </w:p>
    <w:p w:rsidR="008F0134" w:rsidRDefault="008F0134" w:rsidP="00540F8E">
      <w:pPr>
        <w:spacing w:before="120" w:line="312" w:lineRule="auto"/>
      </w:pPr>
      <w:bookmarkStart w:id="0" w:name="_GoBack"/>
      <w:bookmarkEnd w:id="0"/>
    </w:p>
    <w:p w:rsidR="00547656" w:rsidRDefault="00547656" w:rsidP="00547656">
      <w:pPr>
        <w:spacing w:before="120" w:line="312" w:lineRule="auto"/>
        <w:rPr>
          <w:rFonts w:cs="Arial"/>
          <w:szCs w:val="20"/>
          <w:lang w:val="de-CH"/>
        </w:rPr>
      </w:pPr>
      <w:r>
        <w:rPr>
          <w:rFonts w:cs="Arial"/>
          <w:noProof/>
          <w:szCs w:val="20"/>
          <w:lang w:val="de-CH" w:eastAsia="de-CH" w:bidi="ar-SA"/>
        </w:rPr>
        <w:drawing>
          <wp:inline distT="0" distB="0" distL="0" distR="0">
            <wp:extent cx="1897380" cy="1257300"/>
            <wp:effectExtent l="0" t="0" r="7620" b="0"/>
            <wp:docPr id="4" name="Grafik 4" descr="SuisseNautic_2013-385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uisseNautic_2013-3853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7380" cy="1257300"/>
                    </a:xfrm>
                    <a:prstGeom prst="rect">
                      <a:avLst/>
                    </a:prstGeom>
                    <a:noFill/>
                    <a:ln>
                      <a:noFill/>
                    </a:ln>
                  </pic:spPr>
                </pic:pic>
              </a:graphicData>
            </a:graphic>
          </wp:inline>
        </w:drawing>
      </w:r>
      <w:r>
        <w:rPr>
          <w:rFonts w:cs="Arial"/>
          <w:szCs w:val="20"/>
          <w:lang w:val="de-CH"/>
        </w:rPr>
        <w:t xml:space="preserve"> </w:t>
      </w:r>
      <w:r>
        <w:rPr>
          <w:rFonts w:cs="Arial"/>
          <w:noProof/>
          <w:szCs w:val="20"/>
          <w:lang w:val="de-CH" w:eastAsia="de-CH" w:bidi="ar-SA"/>
        </w:rPr>
        <w:drawing>
          <wp:inline distT="0" distB="0" distL="0" distR="0">
            <wp:extent cx="1897380" cy="1257300"/>
            <wp:effectExtent l="0" t="0" r="7620" b="0"/>
            <wp:docPr id="3" name="Grafik 3" descr="SuisseNautic_2013-540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uisseNautic_2013-5400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7380" cy="1257300"/>
                    </a:xfrm>
                    <a:prstGeom prst="rect">
                      <a:avLst/>
                    </a:prstGeom>
                    <a:noFill/>
                    <a:ln>
                      <a:noFill/>
                    </a:ln>
                  </pic:spPr>
                </pic:pic>
              </a:graphicData>
            </a:graphic>
          </wp:inline>
        </w:drawing>
      </w:r>
      <w:r>
        <w:rPr>
          <w:rFonts w:cs="Arial"/>
          <w:szCs w:val="20"/>
          <w:lang w:val="de-CH"/>
        </w:rPr>
        <w:t xml:space="preserve"> </w:t>
      </w:r>
      <w:r>
        <w:rPr>
          <w:rFonts w:cs="Arial"/>
          <w:noProof/>
          <w:szCs w:val="20"/>
          <w:lang w:val="de-CH" w:eastAsia="de-CH" w:bidi="ar-SA"/>
        </w:rPr>
        <w:drawing>
          <wp:inline distT="0" distB="0" distL="0" distR="0">
            <wp:extent cx="1897380" cy="1257300"/>
            <wp:effectExtent l="0" t="0" r="7620" b="0"/>
            <wp:docPr id="1" name="Grafik 1" descr="SuisseNautic_2013-624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uisseNautic_2013-6245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7380" cy="1257300"/>
                    </a:xfrm>
                    <a:prstGeom prst="rect">
                      <a:avLst/>
                    </a:prstGeom>
                    <a:noFill/>
                    <a:ln>
                      <a:noFill/>
                    </a:ln>
                  </pic:spPr>
                </pic:pic>
              </a:graphicData>
            </a:graphic>
          </wp:inline>
        </w:drawing>
      </w:r>
    </w:p>
    <w:sectPr w:rsidR="00547656" w:rsidSect="00547656">
      <w:headerReference w:type="default" r:id="rId15"/>
      <w:pgSz w:w="11906" w:h="16838" w:code="9"/>
      <w:pgMar w:top="2835"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08" w:rsidRDefault="00255A08" w:rsidP="009178CE">
      <w:pPr>
        <w:spacing w:line="240" w:lineRule="auto"/>
      </w:pPr>
      <w:r>
        <w:separator/>
      </w:r>
    </w:p>
  </w:endnote>
  <w:endnote w:type="continuationSeparator" w:id="0">
    <w:p w:rsidR="00255A08" w:rsidRDefault="00255A08" w:rsidP="00917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08" w:rsidRDefault="00255A08" w:rsidP="009178CE">
      <w:pPr>
        <w:spacing w:line="240" w:lineRule="auto"/>
      </w:pPr>
      <w:r>
        <w:separator/>
      </w:r>
    </w:p>
  </w:footnote>
  <w:footnote w:type="continuationSeparator" w:id="0">
    <w:p w:rsidR="00255A08" w:rsidRDefault="00255A08" w:rsidP="009178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CA" w:rsidRDefault="00766A38" w:rsidP="009178CE">
    <w:pPr>
      <w:pStyle w:val="Kopfzeile"/>
      <w:jc w:val="right"/>
    </w:pPr>
    <w:r>
      <w:rPr>
        <w:noProof/>
        <w:lang w:val="de-CH" w:eastAsia="de-CH" w:bidi="ar-SA"/>
      </w:rPr>
      <w:drawing>
        <wp:anchor distT="0" distB="0" distL="114300" distR="114300" simplePos="0" relativeHeight="251658240" behindDoc="0" locked="0" layoutInCell="1" allowOverlap="1" wp14:anchorId="315201AB" wp14:editId="3216B7CB">
          <wp:simplePos x="0" y="0"/>
          <wp:positionH relativeFrom="column">
            <wp:posOffset>3796030</wp:posOffset>
          </wp:positionH>
          <wp:positionV relativeFrom="paragraph">
            <wp:posOffset>-635</wp:posOffset>
          </wp:positionV>
          <wp:extent cx="1963339" cy="903939"/>
          <wp:effectExtent l="0" t="0" r="0" b="0"/>
          <wp:wrapNone/>
          <wp:docPr id="2" name="Grafik 2" descr="T:\Logos\_MES\110_SNA\2015\Logoordner\franz\jpg\SN15_claim_dat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_MES\110_SNA\2015\Logoordner\franz\jpg\SN15_claim_dat_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3339" cy="9039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7CA" w:rsidRDefault="000767CA" w:rsidP="009178CE">
    <w:pPr>
      <w:pStyle w:val="Kopfzeile"/>
      <w:jc w:val="right"/>
    </w:pPr>
  </w:p>
  <w:p w:rsidR="000767CA" w:rsidRDefault="000767CA" w:rsidP="009178C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CE"/>
    <w:rsid w:val="000767CA"/>
    <w:rsid w:val="00127C7D"/>
    <w:rsid w:val="00146BA8"/>
    <w:rsid w:val="001565FD"/>
    <w:rsid w:val="00222D9F"/>
    <w:rsid w:val="002422AC"/>
    <w:rsid w:val="00255A08"/>
    <w:rsid w:val="002A66AD"/>
    <w:rsid w:val="002C60FE"/>
    <w:rsid w:val="002D1DEE"/>
    <w:rsid w:val="00303719"/>
    <w:rsid w:val="00305549"/>
    <w:rsid w:val="0031074D"/>
    <w:rsid w:val="00364B9F"/>
    <w:rsid w:val="0037129B"/>
    <w:rsid w:val="003A203D"/>
    <w:rsid w:val="003C6720"/>
    <w:rsid w:val="004172E5"/>
    <w:rsid w:val="0044290C"/>
    <w:rsid w:val="00494177"/>
    <w:rsid w:val="004A34E4"/>
    <w:rsid w:val="00540F8E"/>
    <w:rsid w:val="00547656"/>
    <w:rsid w:val="005810EC"/>
    <w:rsid w:val="005B40D4"/>
    <w:rsid w:val="005B6195"/>
    <w:rsid w:val="00614289"/>
    <w:rsid w:val="006649E6"/>
    <w:rsid w:val="006854CC"/>
    <w:rsid w:val="00687461"/>
    <w:rsid w:val="006A4C6F"/>
    <w:rsid w:val="006A70DE"/>
    <w:rsid w:val="006C31C7"/>
    <w:rsid w:val="006C4120"/>
    <w:rsid w:val="00766A38"/>
    <w:rsid w:val="0079148D"/>
    <w:rsid w:val="0079581C"/>
    <w:rsid w:val="007D3C20"/>
    <w:rsid w:val="00806B62"/>
    <w:rsid w:val="00890432"/>
    <w:rsid w:val="008D50BB"/>
    <w:rsid w:val="008F0134"/>
    <w:rsid w:val="009178CE"/>
    <w:rsid w:val="0095330E"/>
    <w:rsid w:val="00957578"/>
    <w:rsid w:val="009E249C"/>
    <w:rsid w:val="00AF253F"/>
    <w:rsid w:val="00AF6FD5"/>
    <w:rsid w:val="00B7728A"/>
    <w:rsid w:val="00B8727E"/>
    <w:rsid w:val="00B913BD"/>
    <w:rsid w:val="00C24FD6"/>
    <w:rsid w:val="00C9145A"/>
    <w:rsid w:val="00D01810"/>
    <w:rsid w:val="00D752FD"/>
    <w:rsid w:val="00D8495E"/>
    <w:rsid w:val="00D86D64"/>
    <w:rsid w:val="00D940E8"/>
    <w:rsid w:val="00DB7EA9"/>
    <w:rsid w:val="00DC078F"/>
    <w:rsid w:val="00E133E9"/>
    <w:rsid w:val="00E138DE"/>
    <w:rsid w:val="00E41E4F"/>
    <w:rsid w:val="00E43269"/>
    <w:rsid w:val="00E44006"/>
    <w:rsid w:val="00E45410"/>
    <w:rsid w:val="00E64C4B"/>
    <w:rsid w:val="00E91418"/>
    <w:rsid w:val="00EA64D0"/>
    <w:rsid w:val="00F33937"/>
    <w:rsid w:val="00F42722"/>
    <w:rsid w:val="00F5791E"/>
    <w:rsid w:val="00F96553"/>
    <w:rsid w:val="00FE0680"/>
    <w:rsid w:val="00FF73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pBdr>
        <w:bottom w:val="none" w:sz="0" w:space="0" w:color="auto"/>
      </w:pBdr>
      <w:spacing w:after="0" w:line="420" w:lineRule="exact"/>
      <w:contextualSpacing w:val="0"/>
      <w:outlineLvl w:val="0"/>
    </w:pPr>
    <w:rPr>
      <w:rFonts w:ascii="Arial" w:eastAsia="Times New Roman" w:hAnsi="Arial" w:cs="Times New Roman"/>
      <w:b/>
      <w:bCs/>
      <w:color w:val="auto"/>
      <w:spacing w:val="4"/>
      <w:sz w:val="32"/>
      <w:szCs w:val="32"/>
    </w:rPr>
  </w:style>
  <w:style w:type="character" w:customStyle="1" w:styleId="DatumZchn">
    <w:name w:val="Datum Zchn"/>
    <w:aliases w:val="Datum-Bereich-Legende Zchn"/>
    <w:link w:val="Datum"/>
    <w:rsid w:val="009178CE"/>
    <w:rPr>
      <w:rFonts w:ascii="Arial" w:hAnsi="Arial"/>
      <w:spacing w:val="4"/>
      <w:sz w:val="15"/>
      <w:szCs w:val="24"/>
      <w:lang w:eastAsia="fr-CH"/>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fr-CH" w:eastAsia="fr-CH"/>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917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78CE"/>
    <w:rPr>
      <w:rFonts w:asciiTheme="majorHAnsi" w:eastAsiaTheme="majorEastAsia" w:hAnsiTheme="majorHAnsi" w:cstheme="majorBidi"/>
      <w:color w:val="17365D" w:themeColor="text2" w:themeShade="BF"/>
      <w:spacing w:val="5"/>
      <w:kern w:val="28"/>
      <w:sz w:val="52"/>
      <w:szCs w:val="52"/>
      <w:lang w:val="fr-CH" w:eastAsia="fr-CH"/>
    </w:rPr>
  </w:style>
  <w:style w:type="paragraph" w:styleId="StandardWeb">
    <w:name w:val="Normal (Web)"/>
    <w:basedOn w:val="Standard"/>
    <w:uiPriority w:val="99"/>
    <w:rsid w:val="00806B62"/>
    <w:pPr>
      <w:tabs>
        <w:tab w:val="clear" w:pos="567"/>
        <w:tab w:val="clear" w:pos="851"/>
      </w:tabs>
      <w:suppressAutoHyphens/>
      <w:spacing w:before="280" w:after="280" w:line="240" w:lineRule="auto"/>
    </w:pPr>
    <w:rPr>
      <w:rFonts w:ascii="Times New Roman" w:hAnsi="Times New Roman"/>
      <w:spacing w:val="0"/>
      <w:sz w:val="24"/>
    </w:rPr>
  </w:style>
  <w:style w:type="paragraph" w:customStyle="1" w:styleId="polystandard">
    <w:name w:val="poly_standard"/>
    <w:basedOn w:val="Standard"/>
    <w:rsid w:val="00806B62"/>
    <w:pPr>
      <w:tabs>
        <w:tab w:val="clear" w:pos="567"/>
        <w:tab w:val="clear" w:pos="851"/>
      </w:tabs>
      <w:suppressAutoHyphens/>
      <w:spacing w:line="260" w:lineRule="exact"/>
    </w:pPr>
    <w:rPr>
      <w:rFonts w:cs="Arial"/>
      <w:spacing w:val="0"/>
      <w:sz w:val="22"/>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pBdr>
        <w:bottom w:val="none" w:sz="0" w:space="0" w:color="auto"/>
      </w:pBdr>
      <w:spacing w:after="0" w:line="420" w:lineRule="exact"/>
      <w:contextualSpacing w:val="0"/>
      <w:outlineLvl w:val="0"/>
    </w:pPr>
    <w:rPr>
      <w:rFonts w:ascii="Arial" w:eastAsia="Times New Roman" w:hAnsi="Arial" w:cs="Times New Roman"/>
      <w:b/>
      <w:bCs/>
      <w:color w:val="auto"/>
      <w:spacing w:val="4"/>
      <w:sz w:val="32"/>
      <w:szCs w:val="32"/>
    </w:rPr>
  </w:style>
  <w:style w:type="character" w:customStyle="1" w:styleId="DatumZchn">
    <w:name w:val="Datum Zchn"/>
    <w:aliases w:val="Datum-Bereich-Legende Zchn"/>
    <w:link w:val="Datum"/>
    <w:rsid w:val="009178CE"/>
    <w:rPr>
      <w:rFonts w:ascii="Arial" w:hAnsi="Arial"/>
      <w:spacing w:val="4"/>
      <w:sz w:val="15"/>
      <w:szCs w:val="24"/>
      <w:lang w:eastAsia="fr-CH"/>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fr-CH" w:eastAsia="fr-CH"/>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917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78CE"/>
    <w:rPr>
      <w:rFonts w:asciiTheme="majorHAnsi" w:eastAsiaTheme="majorEastAsia" w:hAnsiTheme="majorHAnsi" w:cstheme="majorBidi"/>
      <w:color w:val="17365D" w:themeColor="text2" w:themeShade="BF"/>
      <w:spacing w:val="5"/>
      <w:kern w:val="28"/>
      <w:sz w:val="52"/>
      <w:szCs w:val="52"/>
      <w:lang w:val="fr-CH" w:eastAsia="fr-CH"/>
    </w:rPr>
  </w:style>
  <w:style w:type="paragraph" w:styleId="StandardWeb">
    <w:name w:val="Normal (Web)"/>
    <w:basedOn w:val="Standard"/>
    <w:uiPriority w:val="99"/>
    <w:rsid w:val="00806B62"/>
    <w:pPr>
      <w:tabs>
        <w:tab w:val="clear" w:pos="567"/>
        <w:tab w:val="clear" w:pos="851"/>
      </w:tabs>
      <w:suppressAutoHyphens/>
      <w:spacing w:before="280" w:after="280" w:line="240" w:lineRule="auto"/>
    </w:pPr>
    <w:rPr>
      <w:rFonts w:ascii="Times New Roman" w:hAnsi="Times New Roman"/>
      <w:spacing w:val="0"/>
      <w:sz w:val="24"/>
    </w:rPr>
  </w:style>
  <w:style w:type="paragraph" w:customStyle="1" w:styleId="polystandard">
    <w:name w:val="poly_standard"/>
    <w:basedOn w:val="Standard"/>
    <w:rsid w:val="00806B62"/>
    <w:pPr>
      <w:tabs>
        <w:tab w:val="clear" w:pos="567"/>
        <w:tab w:val="clear" w:pos="851"/>
      </w:tabs>
      <w:suppressAutoHyphens/>
      <w:spacing w:line="260" w:lineRule="exact"/>
    </w:pPr>
    <w:rPr>
      <w:rFonts w:cs="Arial"/>
      <w:spacing w:val="0"/>
      <w:sz w:val="22"/>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ssenautic.ch/accreditation"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uissenautic.ch/billetterie" TargetMode="External"/><Relationship Id="rId12" Type="http://schemas.openxmlformats.org/officeDocument/2006/relationships/image" Target="media/image1.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oger.fuchs@bernexpo.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uissenautic.ch/" TargetMode="External"/><Relationship Id="rId4" Type="http://schemas.openxmlformats.org/officeDocument/2006/relationships/webSettings" Target="webSettings.xml"/><Relationship Id="rId9" Type="http://schemas.openxmlformats.org/officeDocument/2006/relationships/hyperlink" Target="http://www.suissenautic.ch/photos-de-press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BERNEXPO</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Walpen</dc:creator>
  <cp:lastModifiedBy>Roger Fuchs</cp:lastModifiedBy>
  <cp:revision>6</cp:revision>
  <cp:lastPrinted>2014-10-16T07:06:00Z</cp:lastPrinted>
  <dcterms:created xsi:type="dcterms:W3CDTF">2015-02-09T10:38:00Z</dcterms:created>
  <dcterms:modified xsi:type="dcterms:W3CDTF">2015-02-16T09:46:00Z</dcterms:modified>
</cp:coreProperties>
</file>